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reDocument"/>
        <w:jc w:val="center"/>
      </w:pPr>
      <w:r>
        <w:t>NOTE CONCEPTUELLE</w:t>
      </w:r>
    </w:p>
    <w:p>
      <w:pPr>
        <w:pStyle w:val="SousTitreDocument"/>
        <w:jc w:val="center"/>
      </w:pPr>
      <w:r>
        <w:t>Projet Liberté 6C Digital Hub</w:t>
      </w:r>
    </w:p>
    <w:p>
      <w:pPr>
        <w:jc w:val="center"/>
      </w:pPr>
      <w:r>
        <w:rPr>
          <w:b/>
          <w:sz w:val="26"/>
        </w:rPr>
        <w:t>CEM Liberté 6C - Dakar, Sénégal</w:t>
      </w:r>
    </w:p>
    <w:p>
      <w:pPr>
        <w:jc w:val="center"/>
      </w:pPr>
      <w:r>
        <w:rPr>
          <w:i/>
          <w:sz w:val="24"/>
        </w:rPr>
        <w:t>Slogan : "De l'accès à l'usage, de l'usage à la maîtrise"</w:t>
      </w:r>
    </w:p>
    <w:p/>
    <w:p/>
    <w:p>
      <w:pPr>
        <w:jc w:val="center"/>
      </w:pPr>
      <w:r>
        <w:rPr>
          <w:sz w:val="22"/>
        </w:rPr>
        <w:t>Document de présentation du projet</w:t>
      </w:r>
    </w:p>
    <w:p>
      <w:pPr>
        <w:jc w:val="center"/>
      </w:pPr>
      <w:r>
        <w:rPr>
          <w:sz w:val="22"/>
        </w:rPr>
        <w:t>Version formelle prête à être partagée</w:t>
      </w:r>
    </w:p>
    <w:p>
      <w:pPr>
        <w:jc w:val="center"/>
      </w:pPr>
      <w:r>
        <w:rPr>
          <w:sz w:val="22"/>
        </w:rPr>
        <w:t>Date : 26 avril 2026</w:t>
      </w:r>
    </w:p>
    <w:p/>
    <w:p/>
    <w:tbl>
      <w:tblPr>
        <w:tblStyle w:val="TableGrid"/>
        <w:tblW w:type="auto" w:w="0"/>
        <w:jc w:val="center"/>
        <w:tblLook w:firstColumn="1" w:firstRow="1" w:lastColumn="0" w:lastRow="0" w:noHBand="0" w:noVBand="1" w:val="04A0"/>
      </w:tblPr>
      <w:tblGrid>
        <w:gridCol w:w="4536"/>
        <w:gridCol w:w="4536"/>
      </w:tblGrid>
      <w:tr>
        <w:tc>
          <w:tcPr>
            <w:tcW w:type="dxa" w:w="3118"/>
            <w:vAlign w:val="center"/>
            <w:shd w:fill="D9EAF7" w:val="clear"/>
          </w:tcPr>
          <w:p>
            <w:r>
              <w:rPr>
                <w:b/>
              </w:rPr>
              <w:t>Établissement</w:t>
            </w:r>
          </w:p>
        </w:tc>
        <w:tc>
          <w:tcPr>
            <w:tcW w:type="dxa" w:w="5386"/>
            <w:vAlign w:val="center"/>
          </w:tcPr>
          <w:p>
            <w:r>
              <w:t>CEM Liberté 6C</w:t>
            </w:r>
          </w:p>
        </w:tc>
      </w:tr>
      <w:tr>
        <w:tc>
          <w:tcPr>
            <w:tcW w:type="dxa" w:w="3118"/>
            <w:vAlign w:val="center"/>
            <w:shd w:fill="D9EAF7" w:val="clear"/>
          </w:tcPr>
          <w:p>
            <w:r>
              <w:rPr>
                <w:b/>
              </w:rPr>
              <w:t>Localisation</w:t>
            </w:r>
          </w:p>
        </w:tc>
        <w:tc>
          <w:tcPr>
            <w:tcW w:type="dxa" w:w="5386"/>
            <w:vAlign w:val="center"/>
          </w:tcPr>
          <w:p>
            <w:r>
              <w:t>Quartier Liberté 6, Dakar, Sénégal</w:t>
            </w:r>
          </w:p>
        </w:tc>
      </w:tr>
      <w:tr>
        <w:tc>
          <w:tcPr>
            <w:tcW w:type="dxa" w:w="3118"/>
            <w:vAlign w:val="center"/>
            <w:shd w:fill="D9EAF7" w:val="clear"/>
          </w:tcPr>
          <w:p>
            <w:r>
              <w:rPr>
                <w:b/>
              </w:rPr>
              <w:t>Bénéficiaires directs</w:t>
            </w:r>
          </w:p>
        </w:tc>
        <w:tc>
          <w:tcPr>
            <w:tcW w:type="dxa" w:w="5386"/>
            <w:vAlign w:val="center"/>
          </w:tcPr>
          <w:p>
            <w:r>
              <w:t>560 élèves et 25 enseignants</w:t>
            </w:r>
          </w:p>
        </w:tc>
      </w:tr>
      <w:tr>
        <w:tc>
          <w:tcPr>
            <w:tcW w:type="dxa" w:w="3118"/>
            <w:vAlign w:val="center"/>
            <w:shd w:fill="D9EAF7" w:val="clear"/>
          </w:tcPr>
          <w:p>
            <w:r>
              <w:rPr>
                <w:b/>
              </w:rPr>
              <w:t>Horizon du projet</w:t>
            </w:r>
          </w:p>
        </w:tc>
        <w:tc>
          <w:tcPr>
            <w:tcW w:type="dxa" w:w="5386"/>
            <w:vAlign w:val="center"/>
          </w:tcPr>
          <w:p>
            <w:r>
              <w:t>2026 - 2028</w:t>
            </w:r>
          </w:p>
        </w:tc>
      </w:tr>
    </w:tbl>
    <w:p>
      <w:r>
        <w:br w:type="page"/>
      </w:r>
    </w:p>
    <w:p>
      <w:pPr>
        <w:pStyle w:val="Heading1"/>
      </w:pPr>
      <w:r>
        <w:t>1. Contexte et justification</w:t>
      </w:r>
    </w:p>
    <w:p>
      <w:pPr>
        <w:spacing w:after="120"/>
      </w:pPr>
      <w:r>
        <w:t>Le CEM Liberté 6C, situé dans le quartier Liberté 6 à Dakar, accueille 560 élèves, mobilise 25 enseignants et compte 13 classes pédagogiques réparties sur 12 salles. Malgré cette dynamique éducative, l'établissement reste confronté à une fracture numérique significative : salle informatique vétuste, 15 postes obsolètes, absence de Wi-Fi campus, connectivité insuffisante et faible usage des plateformes pédagogiques nationales.</w:t>
      </w:r>
    </w:p>
    <w:p>
      <w:pPr>
        <w:spacing w:after="120"/>
      </w:pPr>
      <w:r>
        <w:t>Dans le même temps, l'État du Sénégal a déjà investi dans un écosystème numérique éducatif structuré, notamment à travers PROMET, SENPROF, PLANETE 3, FORCE-N et la FOAD MEN. Le principal défi ne réside donc plus uniquement dans la production de contenus, mais dans la capacité des établissements à accéder à ces ressources, à les intégrer dans les pratiques pédagogiques et à en faire des leviers d'apprentissage, d'équité et de performance scolaire.</w:t>
      </w:r>
    </w:p>
    <w:p>
      <w:pPr>
        <w:spacing w:after="120"/>
      </w:pPr>
      <w:r>
        <w:t>Le projet Liberté 6C Digital Hub s'inscrit dans cette perspective. Il ambitionne de transformer le CEM Liberté 6C en un espace d'apprentissage numérique inclusif, fonctionnel et durable, en cohérence avec les orientations du ministère de l'Éducation nationale et les ambitions de la transformation numérique du Sénégal.</w:t>
      </w:r>
    </w:p>
    <w:p>
      <w:pPr>
        <w:pStyle w:val="Heading1"/>
      </w:pPr>
      <w:r>
        <w:t>2. Problématique</w:t>
      </w:r>
    </w:p>
    <w:p>
      <w:pPr>
        <w:spacing w:after="120"/>
      </w:pPr>
      <w:r>
        <w:t>Comment transformer un collège public disposant de ressources limitées en un environnement d'apprentissage numérique inclusif, durable et réplicable, permettant aux élèves, aux enseignants et à l'administration de bénéficier d'un accès réel, régulier et maîtrisé aux outils et aux contenus éducatifs numériques ?</w:t>
      </w:r>
    </w:p>
    <w:p>
      <w:pPr>
        <w:pStyle w:val="Heading1"/>
      </w:pPr>
      <w:r>
        <w:t>3. Vision</w:t>
      </w:r>
    </w:p>
    <w:p>
      <w:pPr>
        <w:spacing w:after="120"/>
      </w:pPr>
      <w:r>
        <w:t>La vision du projet est de faire du CEM Liberté 6C un hub numérique éducatif de référence à l'échelle locale, capable d'articuler infrastructure, médiation entre pairs, formation des enseignants, accès aux ressources publiques et éducation aux médias. Il s'agit de passer d'une logique de simple dotation en matériel à une logique d'usage pédagogique structuré, de montée en compétences et d'autonomisation durable des acteurs éducatifs.</w:t>
      </w:r>
    </w:p>
    <w:p>
      <w:pPr>
        <w:pStyle w:val="Heading1"/>
      </w:pPr>
      <w:r>
        <w:t>4. Objectif général</w:t>
      </w:r>
    </w:p>
    <w:p>
      <w:pPr>
        <w:spacing w:after="120"/>
      </w:pPr>
      <w:r>
        <w:t>Contribuer à l'amélioration de la qualité de l'enseignement et à la réduction de la fracture numérique au CEM Liberté 6C par la mise en place d'un hub numérique éducatif inclusif, connecté, structuré et durable.</w:t>
      </w:r>
    </w:p>
    <w:p>
      <w:pPr>
        <w:pStyle w:val="Heading1"/>
      </w:pPr>
      <w:r>
        <w:t>5. Objectifs spécifiques</w:t>
      </w:r>
    </w:p>
    <w:p>
      <w:pPr>
        <w:pStyle w:val="ListBullet"/>
      </w:pPr>
      <w:r>
        <w:t>Réhabiliter et moderniser l'environnement numérique de l'établissement.</w:t>
      </w:r>
    </w:p>
    <w:p>
      <w:pPr>
        <w:pStyle w:val="ListBullet"/>
      </w:pPr>
      <w:r>
        <w:t>Offrir aux élèves et aux enseignants un accès régulier aux ressources éducatives numériques officielles.</w:t>
      </w:r>
    </w:p>
    <w:p>
      <w:pPr>
        <w:pStyle w:val="ListBullet"/>
      </w:pPr>
      <w:r>
        <w:t>Renforcer les compétences numériques et pédagogiques des enseignants à travers un parcours progressif de formation.</w:t>
      </w:r>
    </w:p>
    <w:p>
      <w:pPr>
        <w:pStyle w:val="ListBullet"/>
      </w:pPr>
      <w:r>
        <w:t>Promouvoir la médiation numérique entre pairs grâce au Club SENUM.</w:t>
      </w:r>
    </w:p>
    <w:p>
      <w:pPr>
        <w:pStyle w:val="ListBullet"/>
      </w:pPr>
      <w:r>
        <w:t>Développer une culture d'usage responsable du numérique et de lutte contre la désinformation à travers l'éducation aux médias et à l'information.</w:t>
      </w:r>
    </w:p>
    <w:p>
      <w:pPr>
        <w:pStyle w:val="Heading1"/>
      </w:pPr>
      <w:r>
        <w:t>6. Description du projet</w:t>
      </w:r>
    </w:p>
    <w:p>
      <w:pPr>
        <w:spacing w:after="120"/>
      </w:pPr>
      <w:r>
        <w:t>Le Liberté 6C Digital Hub repose sur cinq piliers complémentaires qui structurent l'ensemble de l'intervention.</w:t>
      </w:r>
    </w:p>
    <w:p>
      <w:pPr>
        <w:pStyle w:val="Heading2"/>
      </w:pPr>
      <w:r>
        <w:t>6.1 Pilier 1 : Infrastructure numérique</w:t>
      </w:r>
    </w:p>
    <w:p>
      <w:pPr>
        <w:spacing w:after="120"/>
      </w:pPr>
      <w:r>
        <w:t>Ce pilier prévoit la réhabilitation de la salle informatique, l'installation d'un mobilier adapté, l'amélioration de l'alimentation électrique, la mise en place d'un Wi-Fi campus sécurisé via fibre optique, ainsi que l'acquisition de 15 postes neufs, d'un tableau blanc interactif et d'une imprimante réseau. L'objectif est de créer un environnement propice à un accès régulier et organisé au numérique pour l'ensemble des classes pédagogiques.</w:t>
      </w:r>
    </w:p>
    <w:p>
      <w:pPr>
        <w:pStyle w:val="Heading2"/>
      </w:pPr>
      <w:r>
        <w:t>6.2 Pilier 2 : Club SENUM</w:t>
      </w:r>
    </w:p>
    <w:p>
      <w:pPr>
        <w:spacing w:after="120"/>
      </w:pPr>
      <w:r>
        <w:t>Créé le 5 mars 2026, le Club SENUM constitue le moteur humain du projet. Il assurera la médiation numérique entre élèves, la curation de contenus par niveau, la veille sur les nouvelles ressources, l'animation d'ateliers pratiques et la sensibilisation à l'éducation aux médias. Son rôle est déterminant pour l'appropriation locale du hub et sa pérennité.</w:t>
      </w:r>
    </w:p>
    <w:p>
      <w:pPr>
        <w:pStyle w:val="Heading2"/>
      </w:pPr>
      <w:r>
        <w:t>6.3 Pilier 3 : Bibliothèque numérique</w:t>
      </w:r>
    </w:p>
    <w:p>
      <w:pPr>
        <w:spacing w:after="120"/>
      </w:pPr>
      <w:r>
        <w:t>Le hub donnera un accès structuré aux plateformes officielles déjà disponibles au niveau national. PROMET soutiendra la remédiation scolaire des élèves ; SENPROF appuiera la scénarisation pédagogique ; PLANETE 3 facilitera la gestion scolaire et la relation avec les parents ; FORCE-N renforcera l'accompagnement en mathématiques et en sciences ; enfin, la FOAD MEN servira de support à la formation continue des enseignants.</w:t>
      </w:r>
    </w:p>
    <w:p>
      <w:pPr>
        <w:pStyle w:val="Heading2"/>
      </w:pPr>
      <w:r>
        <w:t>6.4 Pilier 4 : Formation des enseignants</w:t>
      </w:r>
    </w:p>
    <w:p>
      <w:pPr>
        <w:spacing w:after="120"/>
      </w:pPr>
      <w:r>
        <w:t>Les 25 enseignants de l'établissement seront accompagnés à travers un parcours en trois niveaux : initiation aux outils numériques et à PROMET, intégration pédagogique avec SENPROF et le TBI, puis expertise orientée innovation pédagogique, accompagnement par les pairs et introduction à l'intelligence artificielle. Ce dispositif vise à inscrire durablement le numérique dans les pratiques de classe.</w:t>
      </w:r>
    </w:p>
    <w:p>
      <w:pPr>
        <w:pStyle w:val="Heading2"/>
      </w:pPr>
      <w:r>
        <w:t>6.5 Pilier 5 : Éducation aux médias et à l'information</w:t>
      </w:r>
    </w:p>
    <w:p>
      <w:pPr>
        <w:spacing w:after="120"/>
      </w:pPr>
      <w:r>
        <w:t>Le projet entend développer une citoyenneté numérique responsable. Les élèves seront sensibilisés à la vérification de l'information, à l'usage éthique des outils numériques, à la prévention des risques en ligne et à la lutte contre la désinformation. Cette composante est essentielle pour faire du numérique un levier de formation globale et responsable.</w:t>
      </w:r>
    </w:p>
    <w:p>
      <w:pPr>
        <w:pStyle w:val="Heading1"/>
      </w:pPr>
      <w:r>
        <w:t>7. Bénéficiaires</w:t>
      </w:r>
    </w:p>
    <w:p>
      <w:pPr>
        <w:pStyle w:val="ListBullet"/>
      </w:pPr>
      <w:r>
        <w:t>560 élèves du CEM Liberté 6C, bénéficiaires directs du dispositif pédagogique et de la médiation numérique.</w:t>
      </w:r>
    </w:p>
    <w:p>
      <w:pPr>
        <w:pStyle w:val="ListBullet"/>
      </w:pPr>
      <w:r>
        <w:t>25 enseignants, bénéficiaires du programme de formation et d'accompagnement à l'intégration du numérique.</w:t>
      </w:r>
    </w:p>
    <w:p>
      <w:pPr>
        <w:pStyle w:val="ListBullet"/>
      </w:pPr>
      <w:r>
        <w:t>L'administration scolaire et les parents d'élèves, grâce à l'amélioration du suivi et de la gestion via PLANETE 3.</w:t>
      </w:r>
    </w:p>
    <w:p>
      <w:pPr>
        <w:pStyle w:val="ListBullet"/>
      </w:pPr>
      <w:r>
        <w:t>À moyen terme, deux CEM voisins appelés à bénéficier de l'essaimage du modèle à l'horizon 2028.</w:t>
      </w:r>
    </w:p>
    <w:p>
      <w:pPr>
        <w:pStyle w:val="Heading1"/>
      </w:pPr>
      <w:r>
        <w:t>8. Résultats attendus</w:t>
      </w:r>
    </w:p>
    <w:p>
      <w:pPr>
        <w:pStyle w:val="ListNumber"/>
      </w:pPr>
      <w:r>
        <w:t>Une salle numérique réhabilitée, sécurisée, équipée et connectée.</w:t>
      </w:r>
    </w:p>
    <w:p>
      <w:pPr>
        <w:pStyle w:val="ListNumber"/>
      </w:pPr>
      <w:r>
        <w:t>Treize classes pédagogiques desservies par le hub numérique.</w:t>
      </w:r>
    </w:p>
    <w:p>
      <w:pPr>
        <w:pStyle w:val="ListNumber"/>
      </w:pPr>
      <w:r>
        <w:t>Une utilisation effective des principales plateformes nationales au sein de l'établissement.</w:t>
      </w:r>
    </w:p>
    <w:p>
      <w:pPr>
        <w:pStyle w:val="ListNumber"/>
      </w:pPr>
      <w:r>
        <w:t>Un taux d'usage actif d'au moins 70 % dans les douze mois suivant le déploiement.</w:t>
      </w:r>
    </w:p>
    <w:p>
      <w:pPr>
        <w:pStyle w:val="ListNumber"/>
      </w:pPr>
      <w:r>
        <w:t>Vingt-cinq enseignants formés selon les trois niveaux de progression prévus.</w:t>
      </w:r>
    </w:p>
    <w:p>
      <w:pPr>
        <w:pStyle w:val="ListNumber"/>
      </w:pPr>
      <w:r>
        <w:t>Des progrès mesurables des élèves, notamment en mathématiques et en sciences via FORCE-N.</w:t>
      </w:r>
    </w:p>
    <w:p>
      <w:pPr>
        <w:pStyle w:val="ListNumber"/>
      </w:pPr>
      <w:r>
        <w:t>Un modèle documenté, structuré et prêt à être reproduit dans d'autres établissements.</w:t>
      </w:r>
    </w:p>
    <w:p>
      <w:pPr>
        <w:pStyle w:val="Heading1"/>
      </w:pPr>
      <w:r>
        <w:t>9. Stratégie de mise en œuvre</w:t>
      </w:r>
    </w:p>
    <w:p>
      <w:pPr>
        <w:spacing w:after="120"/>
      </w:pPr>
      <w:r>
        <w:t>La mise en œuvre s'organise selon une progression réaliste, articulée en cinq séquences.</w:t>
      </w:r>
    </w:p>
    <w:p>
      <w:pPr>
        <w:pStyle w:val="ListBullet"/>
      </w:pPr>
      <w:r>
        <w:t>Mars - avril 2026 : lancement du projet, diagnostic, constitution de l'équipe projet et création du Club SENUM.</w:t>
      </w:r>
    </w:p>
    <w:p>
      <w:pPr>
        <w:pStyle w:val="ListBullet"/>
      </w:pPr>
      <w:r>
        <w:t>Mai - juin 2026 : réhabilitation de la salle, acquisition des équipements et déploiement de la connectivité.</w:t>
      </w:r>
    </w:p>
    <w:p>
      <w:pPr>
        <w:pStyle w:val="ListBullet"/>
      </w:pPr>
      <w:r>
        <w:t>Septembre - décembre 2026 : formations de niveaux 1 et 2, lancement des classes pilotes et premiers ateliers du Club SENUM.</w:t>
      </w:r>
    </w:p>
    <w:p>
      <w:pPr>
        <w:pStyle w:val="ListBullet"/>
      </w:pPr>
      <w:r>
        <w:t>Année 2027 : généralisation progressive à l'ensemble des classes et déploiement du niveau 3 de formation.</w:t>
      </w:r>
    </w:p>
    <w:p>
      <w:pPr>
        <w:pStyle w:val="ListBullet"/>
      </w:pPr>
      <w:r>
        <w:t>Horizon 2028 : essaimage vers deux CEM voisins et consolidation du hub comme modèle local d'innovation éducative.</w:t>
      </w:r>
    </w:p>
    <w:p>
      <w:pPr>
        <w:pStyle w:val="Heading1"/>
      </w:pPr>
      <w:r>
        <w:t>10. Budget estimatif</w:t>
      </w:r>
    </w:p>
    <w:tbl>
      <w:tblPr>
        <w:tblStyle w:val="TableGrid"/>
        <w:tblW w:type="auto" w:w="0"/>
        <w:jc w:val="center"/>
        <w:tblLook w:firstColumn="1" w:firstRow="1" w:lastColumn="0" w:lastRow="0" w:noHBand="0" w:noVBand="1" w:val="04A0"/>
      </w:tblPr>
      <w:tblGrid>
        <w:gridCol w:w="2268"/>
        <w:gridCol w:w="2268"/>
        <w:gridCol w:w="2268"/>
        <w:gridCol w:w="2268"/>
      </w:tblGrid>
      <w:tr>
        <w:tc>
          <w:tcPr>
            <w:tcW w:type="dxa" w:w="3685"/>
            <w:shd w:fill="0F4C81" w:val="clear"/>
            <w:vAlign w:val="center"/>
          </w:tcPr>
          <w:p>
            <w:r>
              <w:rPr>
                <w:b/>
                <w:color w:val="FFFFFF"/>
              </w:rPr>
              <w:t>Poste budgétaire</w:t>
            </w:r>
          </w:p>
        </w:tc>
        <w:tc>
          <w:tcPr>
            <w:tcW w:type="dxa" w:w="1814"/>
            <w:shd w:fill="0F4C81" w:val="clear"/>
            <w:vAlign w:val="center"/>
          </w:tcPr>
          <w:p>
            <w:r>
              <w:rPr>
                <w:b/>
                <w:color w:val="FFFFFF"/>
              </w:rPr>
              <w:t>Montant (FCFA)</w:t>
            </w:r>
          </w:p>
        </w:tc>
        <w:tc>
          <w:tcPr>
            <w:tcW w:type="dxa" w:w="3005"/>
            <w:shd w:fill="0F4C81" w:val="clear"/>
            <w:vAlign w:val="center"/>
          </w:tcPr>
          <w:p>
            <w:r>
              <w:rPr>
                <w:b/>
                <w:color w:val="FFFFFF"/>
              </w:rPr>
              <w:t>Observations</w:t>
            </w:r>
          </w:p>
        </w:tc>
        <w:tc>
          <w:tcPr>
            <w:tcW w:type="dxa" w:w="1417"/>
            <w:shd w:fill="0F4C81" w:val="clear"/>
            <w:vAlign w:val="center"/>
          </w:tcPr>
          <w:p>
            <w:r>
              <w:rPr>
                <w:b/>
                <w:color w:val="FFFFFF"/>
              </w:rPr>
              <w:t>Priorité</w:t>
            </w:r>
          </w:p>
        </w:tc>
      </w:tr>
      <w:tr>
        <w:tc>
          <w:tcPr>
            <w:tcW w:type="dxa" w:w="3685"/>
            <w:vAlign w:val="center"/>
          </w:tcPr>
          <w:p>
            <w:r>
              <w:t>15 postes informatiques neufs</w:t>
            </w:r>
          </w:p>
        </w:tc>
        <w:tc>
          <w:tcPr>
            <w:tcW w:type="dxa" w:w="1814"/>
            <w:vAlign w:val="center"/>
          </w:tcPr>
          <w:p>
            <w:r>
              <w:t>5 700 000</w:t>
            </w:r>
          </w:p>
        </w:tc>
        <w:tc>
          <w:tcPr>
            <w:tcW w:type="dxa" w:w="3005"/>
            <w:vAlign w:val="center"/>
          </w:tcPr>
          <w:p>
            <w:r>
              <w:t>Remplacement intégral des équipements obsolètes</w:t>
            </w:r>
          </w:p>
        </w:tc>
        <w:tc>
          <w:tcPr>
            <w:tcW w:type="dxa" w:w="1417"/>
            <w:vAlign w:val="center"/>
          </w:tcPr>
          <w:p>
            <w:r>
              <w:t>Très élevée</w:t>
            </w:r>
          </w:p>
        </w:tc>
      </w:tr>
      <w:tr>
        <w:tc>
          <w:tcPr>
            <w:tcW w:type="dxa" w:w="3685"/>
            <w:vAlign w:val="center"/>
          </w:tcPr>
          <w:p>
            <w:r>
              <w:t>TBI, imprimante réseau et accessoires</w:t>
            </w:r>
          </w:p>
        </w:tc>
        <w:tc>
          <w:tcPr>
            <w:tcW w:type="dxa" w:w="1814"/>
            <w:vAlign w:val="center"/>
          </w:tcPr>
          <w:p>
            <w:r>
              <w:t>1 600 000</w:t>
            </w:r>
          </w:p>
        </w:tc>
        <w:tc>
          <w:tcPr>
            <w:tcW w:type="dxa" w:w="3005"/>
            <w:vAlign w:val="center"/>
          </w:tcPr>
          <w:p>
            <w:r>
              <w:t>Équipements pédagogiques mutualisés</w:t>
            </w:r>
          </w:p>
        </w:tc>
        <w:tc>
          <w:tcPr>
            <w:tcW w:type="dxa" w:w="1417"/>
            <w:vAlign w:val="center"/>
          </w:tcPr>
          <w:p>
            <w:r>
              <w:t>Élevée</w:t>
            </w:r>
          </w:p>
        </w:tc>
      </w:tr>
      <w:tr>
        <w:tc>
          <w:tcPr>
            <w:tcW w:type="dxa" w:w="3685"/>
            <w:vAlign w:val="center"/>
          </w:tcPr>
          <w:p>
            <w:r>
              <w:t>Réhabilitation de la salle</w:t>
            </w:r>
          </w:p>
        </w:tc>
        <w:tc>
          <w:tcPr>
            <w:tcW w:type="dxa" w:w="1814"/>
            <w:vAlign w:val="center"/>
          </w:tcPr>
          <w:p>
            <w:r>
              <w:t>3 800 000</w:t>
            </w:r>
          </w:p>
        </w:tc>
        <w:tc>
          <w:tcPr>
            <w:tcW w:type="dxa" w:w="3005"/>
            <w:vAlign w:val="center"/>
          </w:tcPr>
          <w:p>
            <w:r>
              <w:t>Mobilier, climatisation et sécurisation électrique</w:t>
            </w:r>
          </w:p>
        </w:tc>
        <w:tc>
          <w:tcPr>
            <w:tcW w:type="dxa" w:w="1417"/>
            <w:vAlign w:val="center"/>
          </w:tcPr>
          <w:p>
            <w:r>
              <w:t>Très élevée</w:t>
            </w:r>
          </w:p>
        </w:tc>
      </w:tr>
      <w:tr>
        <w:tc>
          <w:tcPr>
            <w:tcW w:type="dxa" w:w="3685"/>
            <w:vAlign w:val="center"/>
          </w:tcPr>
          <w:p>
            <w:r>
              <w:t>Connectivité et réseau Wi-Fi campus</w:t>
            </w:r>
          </w:p>
        </w:tc>
        <w:tc>
          <w:tcPr>
            <w:tcW w:type="dxa" w:w="1814"/>
            <w:vAlign w:val="center"/>
          </w:tcPr>
          <w:p>
            <w:r>
              <w:t>2 800 000</w:t>
            </w:r>
          </w:p>
        </w:tc>
        <w:tc>
          <w:tcPr>
            <w:tcW w:type="dxa" w:w="3005"/>
            <w:vAlign w:val="center"/>
          </w:tcPr>
          <w:p>
            <w:r>
              <w:t>Couverture fibre et accès sécurisé</w:t>
            </w:r>
          </w:p>
        </w:tc>
        <w:tc>
          <w:tcPr>
            <w:tcW w:type="dxa" w:w="1417"/>
            <w:vAlign w:val="center"/>
          </w:tcPr>
          <w:p>
            <w:r>
              <w:t>Très élevée</w:t>
            </w:r>
          </w:p>
        </w:tc>
      </w:tr>
      <w:tr>
        <w:tc>
          <w:tcPr>
            <w:tcW w:type="dxa" w:w="3685"/>
            <w:vAlign w:val="center"/>
          </w:tcPr>
          <w:p>
            <w:r>
              <w:t>Formation et accompagnement des enseignants</w:t>
            </w:r>
          </w:p>
        </w:tc>
        <w:tc>
          <w:tcPr>
            <w:tcW w:type="dxa" w:w="1814"/>
            <w:vAlign w:val="center"/>
          </w:tcPr>
          <w:p>
            <w:r>
              <w:t>2 080 000</w:t>
            </w:r>
          </w:p>
        </w:tc>
        <w:tc>
          <w:tcPr>
            <w:tcW w:type="dxa" w:w="3005"/>
            <w:vAlign w:val="center"/>
          </w:tcPr>
          <w:p>
            <w:r>
              <w:t>Trois niveaux, incluant une initiation à l'IA</w:t>
            </w:r>
          </w:p>
        </w:tc>
        <w:tc>
          <w:tcPr>
            <w:tcW w:type="dxa" w:w="1417"/>
            <w:vAlign w:val="center"/>
          </w:tcPr>
          <w:p>
            <w:r>
              <w:t>Élevée</w:t>
            </w:r>
          </w:p>
        </w:tc>
      </w:tr>
      <w:tr>
        <w:tc>
          <w:tcPr>
            <w:tcW w:type="dxa" w:w="3685"/>
            <w:vAlign w:val="center"/>
          </w:tcPr>
          <w:p>
            <w:r>
              <w:t>Maintenance et sécurité</w:t>
            </w:r>
          </w:p>
        </w:tc>
        <w:tc>
          <w:tcPr>
            <w:tcW w:type="dxa" w:w="1814"/>
            <w:vAlign w:val="center"/>
          </w:tcPr>
          <w:p>
            <w:r>
              <w:t>1 200 000</w:t>
            </w:r>
          </w:p>
        </w:tc>
        <w:tc>
          <w:tcPr>
            <w:tcW w:type="dxa" w:w="3005"/>
            <w:vAlign w:val="center"/>
          </w:tcPr>
          <w:p>
            <w:r>
              <w:t>Maintenance préventive, antivirus et suivi technique</w:t>
            </w:r>
          </w:p>
        </w:tc>
        <w:tc>
          <w:tcPr>
            <w:tcW w:type="dxa" w:w="1417"/>
            <w:vAlign w:val="center"/>
          </w:tcPr>
          <w:p>
            <w:r>
              <w:t>Élevée</w:t>
            </w:r>
          </w:p>
        </w:tc>
      </w:tr>
      <w:tr>
        <w:tc>
          <w:tcPr>
            <w:tcW w:type="dxa" w:w="3685"/>
            <w:vAlign w:val="center"/>
          </w:tcPr>
          <w:p>
            <w:r>
              <w:t>Imprévus et contingences</w:t>
            </w:r>
          </w:p>
        </w:tc>
        <w:tc>
          <w:tcPr>
            <w:tcW w:type="dxa" w:w="1814"/>
            <w:vAlign w:val="center"/>
          </w:tcPr>
          <w:p>
            <w:r>
              <w:t>860 000</w:t>
            </w:r>
          </w:p>
        </w:tc>
        <w:tc>
          <w:tcPr>
            <w:tcW w:type="dxa" w:w="3005"/>
            <w:vAlign w:val="center"/>
          </w:tcPr>
          <w:p>
            <w:r>
              <w:t>Provision de bonne gouvernance</w:t>
            </w:r>
          </w:p>
        </w:tc>
        <w:tc>
          <w:tcPr>
            <w:tcW w:type="dxa" w:w="1417"/>
            <w:vAlign w:val="center"/>
          </w:tcPr>
          <w:p>
            <w:r>
              <w:t>Moyenne</w:t>
            </w:r>
          </w:p>
        </w:tc>
      </w:tr>
      <w:tr>
        <w:tc>
          <w:tcPr>
            <w:tcW w:type="dxa" w:w="3685"/>
            <w:vAlign w:val="center"/>
          </w:tcPr>
          <w:p>
            <w:r>
              <w:t>Contenus pédagogiques officiels</w:t>
            </w:r>
          </w:p>
        </w:tc>
        <w:tc>
          <w:tcPr>
            <w:tcW w:type="dxa" w:w="1814"/>
            <w:vAlign w:val="center"/>
          </w:tcPr>
          <w:p>
            <w:r>
              <w:t>0</w:t>
            </w:r>
          </w:p>
        </w:tc>
        <w:tc>
          <w:tcPr>
            <w:tcW w:type="dxa" w:w="3005"/>
            <w:vAlign w:val="center"/>
          </w:tcPr>
          <w:p>
            <w:r>
              <w:t>Ressources MEN gratuites : PROMET, SENPROF, FORCE-N, FOAD MEN</w:t>
            </w:r>
          </w:p>
        </w:tc>
        <w:tc>
          <w:tcPr>
            <w:tcW w:type="dxa" w:w="1417"/>
            <w:vAlign w:val="center"/>
          </w:tcPr>
          <w:p>
            <w:r>
              <w:t>Stratégique</w:t>
            </w:r>
          </w:p>
        </w:tc>
      </w:tr>
    </w:tbl>
    <w:p>
      <w:r>
        <w:rPr>
          <w:b/>
        </w:rPr>
        <w:t xml:space="preserve">Budget total estimatif : </w:t>
      </w:r>
      <w:r>
        <w:t>18 040 000 FCFA (environ 27 500 euros).</w:t>
      </w:r>
    </w:p>
    <w:p>
      <w:r>
        <w:rPr>
          <w:b/>
        </w:rPr>
        <w:t xml:space="preserve">Note : </w:t>
      </w:r>
      <w:r>
        <w:t>L'utilisation des ressources pédagogiques numériques officielles permet une économie substantielle par rapport à l'achat de contenus privés.</w:t>
      </w:r>
    </w:p>
    <w:p>
      <w:pPr>
        <w:pStyle w:val="Heading1"/>
      </w:pPr>
      <w:r>
        <w:t>11. Durabilité du projet</w:t>
      </w:r>
    </w:p>
    <w:p>
      <w:pPr>
        <w:spacing w:after="120"/>
      </w:pPr>
      <w:r>
        <w:t>La durabilité du projet repose sur plusieurs leviers complémentaires : un ancrage institutionnel fort dans les priorités nationales, l'utilisation de ressources publiques gratuites, la montée en compétences progressive des enseignants, l'existence du Club SENUM comme structure de médiation interne et la mise en place d'une gouvernance claire fondée sur un comité de pilotage, un reporting trimestriel et un rapport d'impact semestriel.</w:t>
      </w:r>
    </w:p>
    <w:p>
      <w:pPr>
        <w:spacing w:after="120"/>
      </w:pPr>
      <w:r>
        <w:t>Le projet ne se limite donc pas à une logique d'investissement matériel. Il s'appuie sur une dynamique pédagogique, humaine et organisationnelle susceptible de se maintenir dans le temps et de produire des effets durables au-delà de la première phase de financement.</w:t>
      </w:r>
    </w:p>
    <w:p>
      <w:pPr>
        <w:pStyle w:val="Heading1"/>
      </w:pPr>
      <w:r>
        <w:t>12. Partenariat recherché</w:t>
      </w:r>
    </w:p>
    <w:p>
      <w:pPr>
        <w:spacing w:after="120"/>
      </w:pPr>
      <w:r>
        <w:t>Le CEM Liberté 6C recherche un appui technique, matériel et institutionnel pour renforcer la qualité et la rapidité de déploiement du projet. Les besoins prioritaires portent sur les domaines suivants :</w:t>
      </w:r>
    </w:p>
    <w:p>
      <w:pPr>
        <w:pStyle w:val="ListBullet"/>
      </w:pPr>
      <w:r>
        <w:t>Infrastructure informatique et réhabilitation de la salle numérique ;</w:t>
      </w:r>
    </w:p>
    <w:p>
      <w:pPr>
        <w:pStyle w:val="ListBullet"/>
      </w:pPr>
      <w:r>
        <w:t>Connectivité haut débit et sécurisation du réseau ;</w:t>
      </w:r>
    </w:p>
    <w:p>
      <w:pPr>
        <w:pStyle w:val="ListBullet"/>
      </w:pPr>
      <w:r>
        <w:t>Équipements numériques, notamment les postes informatiques, le TBI et les périphériques ;</w:t>
      </w:r>
    </w:p>
    <w:p>
      <w:pPr>
        <w:pStyle w:val="ListBullet"/>
      </w:pPr>
      <w:r>
        <w:t>Accompagnement technique et pédagogique, en lien avec les dispositifs du ministère de l'Éducation nationale et les partenaires spécialisés.</w:t>
      </w:r>
    </w:p>
    <w:p>
      <w:pPr>
        <w:spacing w:after="120"/>
      </w:pPr>
      <w:r>
        <w:t>En contrepartie, l'établissement s'engage à assurer une forte mobilisation locale, un dispositif de suivi transparent, des usages mesurables dans les douze mois et une valorisation des acquis à travers des rapports d'impact réguliers et une stratégie d'essaimage vers d'autres établissements.</w:t>
      </w:r>
    </w:p>
    <w:p>
      <w:pPr>
        <w:pStyle w:val="Heading1"/>
      </w:pPr>
      <w:r>
        <w:t>13. Conclusion</w:t>
      </w:r>
    </w:p>
    <w:p>
      <w:pPr>
        <w:spacing w:after="120"/>
      </w:pPr>
      <w:r>
        <w:t>Le projet Liberté 6C Digital Hub constitue une réponse concrète, réaliste et structurée aux défis de la fracture numérique en milieu scolaire. Il conjugue amélioration de l'infrastructure, accès équitable aux ressources éducatives, professionnalisation des enseignants, engagement des élèves et promotion d'une citoyenneté numérique responsable.</w:t>
      </w:r>
    </w:p>
    <w:p>
      <w:pPr>
        <w:spacing w:after="120"/>
      </w:pPr>
      <w:r>
        <w:t>En soutenant cette initiative, les partenaires contribueront directement à l'amélioration des conditions d'apprentissage de 560 élèves et au renforcement des capacités de 25 enseignants, tout en accompagnant l'émergence d'un modèle de collège numérique réplicable au Sénégal. Le Liberté 6C Digital Hub ne propose pas seulement des équipements ; il porte une ambition éducative durable, fondée sur l'accès, l'usage maîtrisé et la transformation pédagogique.</w:t>
      </w:r>
    </w:p>
    <w:sectPr w:rsidR="00FC693F" w:rsidRPr="0006063C" w:rsidSect="00034616">
      <w:footerReference w:type="default" r:id="rId9"/>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xml:space="preserve">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0F4C81"/>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0F4C8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reDocument">
    <w:name w:val="TitreDocument"/>
    <w:basedOn w:val="Title"/>
    <w:pPr>
      <w:spacing w:after="240"/>
    </w:pPr>
    <w:rPr>
      <w:rFonts w:ascii="Aptos Display" w:hAnsi="Aptos Display"/>
      <w:b/>
      <w:color w:val="0F4C81"/>
      <w:sz w:val="48"/>
    </w:rPr>
  </w:style>
  <w:style w:type="paragraph" w:customStyle="1" w:styleId="SousTitreDocument">
    <w:name w:val="SousTitreDocument"/>
    <w:basedOn w:val="Subtitle"/>
    <w:pPr>
      <w:spacing w:after="160"/>
    </w:pPr>
    <w:rPr>
      <w:rFonts w:ascii="Aptos" w:hAnsi="Aptos"/>
      <w:i/>
      <w:color w:val="444444"/>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